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"/>
    <w:p w14:paraId="24CC47F5" w14:textId="22D842DF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17762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</w:t>
      </w:r>
      <w:r w:rsidR="00E62D84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="00870FB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17762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CC562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1441</w:t>
      </w:r>
    </w:p>
    <w:p w14:paraId="4BF14776" w14:textId="7DF917FF" w:rsidR="00AA3FAE" w:rsidRPr="00AA3FAE" w:rsidRDefault="00A55083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nline</w:t>
      </w:r>
      <w:r w:rsidR="002B3E9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870FB8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870FB8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870FB8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870FB8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870FB8"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bookmarkEnd w:id="0"/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9952BEE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3A8B98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17762C" w:rsidRPr="0017762C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IAB-MT and IAB-DU migrate to different IAB-donors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6E251406" w14:textId="73688EB5" w:rsidR="005247ED" w:rsidRDefault="00DA23B6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discussion </w:t>
      </w:r>
      <w:r w:rsidR="006B73DA">
        <w:rPr>
          <w:rFonts w:ascii="Times New Roman" w:eastAsia="宋体" w:hAnsi="Times New Roman" w:cs="Times New Roman"/>
          <w:kern w:val="0"/>
          <w:sz w:val="20"/>
          <w:szCs w:val="20"/>
        </w:rPr>
        <w:t xml:space="preserve">on mobile IAB-node inter-donor migration, following agreements have been achieved in </w:t>
      </w:r>
      <w:r w:rsidR="00C61318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 w:rsidR="00144EE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B73DA">
        <w:rPr>
          <w:rFonts w:ascii="Times New Roman" w:eastAsia="宋体" w:hAnsi="Times New Roman" w:cs="Times New Roman"/>
          <w:kern w:val="0"/>
          <w:sz w:val="20"/>
          <w:szCs w:val="20"/>
        </w:rPr>
        <w:t>meetings.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5247ED" w14:paraId="6224FD43" w14:textId="77777777" w:rsidTr="002C1967">
        <w:trPr>
          <w:trHeight w:val="3590"/>
        </w:trPr>
        <w:tc>
          <w:tcPr>
            <w:tcW w:w="9639" w:type="dxa"/>
          </w:tcPr>
          <w:p w14:paraId="6DB92206" w14:textId="3FDC2352" w:rsidR="005247ED" w:rsidRDefault="005247ED" w:rsidP="005247ED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AN3 117e:</w:t>
            </w:r>
          </w:p>
          <w:p w14:paraId="725B1FA3" w14:textId="77777777" w:rsidR="005247ED" w:rsidRPr="00372E05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As already supported in Rel17, a mobile IAB-MT and </w:t>
            </w:r>
            <w:proofErr w:type="gramStart"/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its</w:t>
            </w:r>
            <w:proofErr w:type="gramEnd"/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 co-located mobile IAB-DU may be served by different donor CUs.</w:t>
            </w:r>
          </w:p>
          <w:p w14:paraId="2CD999F1" w14:textId="77777777" w:rsidR="005247ED" w:rsidRPr="0034409C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The mobile IAB donor that the co-located IAB-DU connects to may remain unchanged after the IAB-MT HO. </w:t>
            </w:r>
          </w:p>
          <w:p w14:paraId="32F3716B" w14:textId="77777777" w:rsidR="005247ED" w:rsidRPr="0034409C" w:rsidRDefault="005247ED" w:rsidP="00B6720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4052D88F" w14:textId="77777777" w:rsidR="005247ED" w:rsidRPr="00372E05" w:rsidRDefault="005247ED" w:rsidP="00B6720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 mobile IAB-DU can execute inter-donor migration, while the co-located mobile IAB-MT executes inter-donor migration.</w:t>
            </w:r>
          </w:p>
          <w:p w14:paraId="793DA1EA" w14:textId="77777777" w:rsidR="005247ED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The mobile IAB-node may perform multiple consecutive partial migrations without inter-donor migration of its mobile IAB-DU. </w:t>
            </w:r>
          </w:p>
          <w:p w14:paraId="6A5DACE2" w14:textId="4D0C7B20" w:rsidR="006E612F" w:rsidRDefault="006E612F" w:rsidP="006E612F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5012E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7bis-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e:</w:t>
            </w:r>
          </w:p>
          <w:p w14:paraId="0F0E9C9B" w14:textId="183B16DB" w:rsidR="005C0EC7" w:rsidRDefault="005C0EC7" w:rsidP="005C0EC7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bookmarkStart w:id="3" w:name="OLE_LINK5"/>
            <w:proofErr w:type="spellStart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migration and </w:t>
            </w:r>
            <w:proofErr w:type="spellStart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-MT handover can be executed independently from each other. </w:t>
            </w:r>
            <w:bookmarkEnd w:id="3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Details on the scenarios need to be further discussed</w:t>
            </w:r>
            <w:r w:rsidR="00EF193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.</w:t>
            </w:r>
          </w:p>
          <w:p w14:paraId="14393DDE" w14:textId="7482EF4D" w:rsidR="005C0EC7" w:rsidRDefault="005C0EC7" w:rsidP="005C0EC7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AN3 118:</w:t>
            </w:r>
          </w:p>
          <w:p w14:paraId="257A3A90" w14:textId="77777777" w:rsidR="005C0EC7" w:rsidRDefault="005320DF" w:rsidP="005320DF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WA: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and its co-located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-DU can be handed over/migrated to different donor CUs. This WA is subject to validation that the impact involved is affordable.</w:t>
            </w:r>
          </w:p>
          <w:p w14:paraId="505C9DD9" w14:textId="77777777" w:rsidR="001F654D" w:rsidRPr="001F654D" w:rsidRDefault="001F654D" w:rsidP="001F654D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F654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F654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AN3 119:</w:t>
            </w:r>
          </w:p>
          <w:p w14:paraId="39032E74" w14:textId="286E2E0D" w:rsidR="00144EEC" w:rsidRPr="00144EEC" w:rsidRDefault="00144EEC" w:rsidP="00144EEC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When triggering the F1 Setup procedure on the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-node,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 to include the information of target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-DU’s CU (</w:t>
            </w:r>
            <w:proofErr w:type="gram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e.g.</w:t>
            </w:r>
            <w:proofErr w:type="gram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IP address,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-ID). </w:t>
            </w:r>
          </w:p>
          <w:p w14:paraId="4A19DCC6" w14:textId="77777777" w:rsidR="00144EEC" w:rsidRPr="00144EEC" w:rsidRDefault="00144EEC" w:rsidP="00144EEC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IAB-node can inform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 via F1AP about the successful F1 Setup with the target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CU, and it can include the IDs of the cells activated by the target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-DU’s CU.</w:t>
            </w:r>
          </w:p>
          <w:p w14:paraId="3547CAE4" w14:textId="25E95E43" w:rsidR="00144EEC" w:rsidRPr="00144EEC" w:rsidRDefault="00144EEC" w:rsidP="00144EEC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HO of UEs from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-DU´s CU to the target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-DU´s CU should happen after the completion of the F1 setup. When to trigger the HO is up to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-DU´s CU implementation.</w:t>
            </w:r>
          </w:p>
          <w:p w14:paraId="65C8C471" w14:textId="1E3F641F" w:rsidR="001F654D" w:rsidRPr="005320DF" w:rsidRDefault="00144EEC" w:rsidP="00144EEC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After </w:t>
            </w:r>
            <w:proofErr w:type="gram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all</w:t>
            </w:r>
            <w:proofErr w:type="gram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UEs have been handed over,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F1AP association can be released by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 or by the source logical </w:t>
            </w:r>
            <w:proofErr w:type="spellStart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144EEC">
              <w:rPr>
                <w:rFonts w:ascii="Calibri" w:hAnsi="Calibri" w:cs="Calibri"/>
                <w:b/>
                <w:bCs/>
                <w:color w:val="008000"/>
                <w:sz w:val="18"/>
              </w:rPr>
              <w:t>-DU’s CU.</w:t>
            </w:r>
          </w:p>
        </w:tc>
      </w:tr>
    </w:tbl>
    <w:p w14:paraId="7F57BE9F" w14:textId="0E321DAA" w:rsidR="005247ED" w:rsidRDefault="003D25F7" w:rsidP="002C196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 general</w:t>
      </w:r>
      <w:r w:rsidR="00B54F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for mobile IAB-node inter-donor migration is </w:t>
      </w:r>
      <w:r w:rsidR="006B73DA">
        <w:rPr>
          <w:rFonts w:ascii="Times New Roman" w:eastAsia="宋体" w:hAnsi="Times New Roman" w:cs="Times New Roman"/>
          <w:kern w:val="0"/>
          <w:sz w:val="20"/>
          <w:szCs w:val="20"/>
        </w:rPr>
        <w:t xml:space="preserve">further </w:t>
      </w:r>
      <w:r w:rsidR="00B54F7F">
        <w:rPr>
          <w:rFonts w:ascii="Times New Roman" w:eastAsia="宋体" w:hAnsi="Times New Roman" w:cs="Times New Roman"/>
          <w:kern w:val="0"/>
          <w:sz w:val="20"/>
          <w:szCs w:val="20"/>
        </w:rPr>
        <w:t>discussed, especial for mobile IAB-MT and mobile IAB-DU migrate to different IAB-donors.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D963D20" w14:textId="719366FC" w:rsidR="00EF004F" w:rsidRDefault="00353499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 mobile IAB-MT and mobile IAB-DU can be handed over/migrated to different IAB-donors, there have the following 6 </w:t>
      </w:r>
      <w:r w:rsidR="00803325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basic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cases </w:t>
      </w:r>
      <w:r w:rsidR="004D2E4F">
        <w:rPr>
          <w:rFonts w:ascii="Times New Roman" w:eastAsia="宋体" w:hAnsi="Times New Roman" w:cs="Times New Roman"/>
          <w:kern w:val="0"/>
          <w:sz w:val="20"/>
          <w:szCs w:val="20"/>
        </w:rPr>
        <w:t>based on the agreement that mobile IAB-MT handover and IAB-DU migration can be executed independently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C3E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C3EB5" w:rsidRPr="00FC3DCC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discussion below, it’s assumed that </w:t>
      </w:r>
      <w:proofErr w:type="spellStart"/>
      <w:r w:rsidR="006C3EB5" w:rsidRPr="00FC3DCC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6C3EB5" w:rsidRPr="00FC3D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IP connectivity are available between the source and target IAB-donors for mobile IAB-MT HO and mobile IAB-DU migration.</w:t>
      </w:r>
    </w:p>
    <w:p w14:paraId="46594FFA" w14:textId="1713433E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1: IAB-MT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IAB-donor A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B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DU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</w:p>
    <w:p w14:paraId="6B5E0D19" w14:textId="53752BE6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="007C43E8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to IAB-donor B and IAB-DU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</w:p>
    <w:p w14:paraId="12296BC6" w14:textId="1FF30EA4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="007C43E8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 C</w:t>
      </w:r>
    </w:p>
    <w:p w14:paraId="749B2332" w14:textId="32BF2C0D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DU migrates from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B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MT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connect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="00D80A26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</w:p>
    <w:p w14:paraId="7EA228ED" w14:textId="6B09C50A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5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0A26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</w:p>
    <w:p w14:paraId="2E08FE5D" w14:textId="70D8F40F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6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</w:p>
    <w:p w14:paraId="5E61A7C0" w14:textId="45B22107" w:rsidR="0092588B" w:rsidRPr="00090205" w:rsidRDefault="0092588B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1 and Case 2</w:t>
      </w:r>
    </w:p>
    <w:p w14:paraId="158AF574" w14:textId="1F215FB7" w:rsidR="005711D3" w:rsidRPr="00A55083" w:rsidRDefault="004E323C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Case 1 is the partial migration and Case 2 is the full revocation of partial migration</w:t>
      </w:r>
      <w:r w:rsidR="009C26BF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triggered by non-F1-terminating IAB-donor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have been already defined in R17 via </w:t>
      </w:r>
      <w:proofErr w:type="spellStart"/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Preparation and IAB Transport Migration Management procedures.</w:t>
      </w:r>
    </w:p>
    <w:p w14:paraId="4BABF803" w14:textId="3D136EF9" w:rsidR="004E323C" w:rsidRPr="00A55083" w:rsidRDefault="004E323C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1: </w:t>
      </w:r>
      <w:r w:rsidR="00334A7F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Following migration cases have been already supported via the legacy </w:t>
      </w:r>
      <w:proofErr w:type="spellStart"/>
      <w:r w:rsidR="00334A7F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334A7F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 Preparation and IAB Transport Migration Management procedures.</w:t>
      </w:r>
    </w:p>
    <w:p w14:paraId="73DB2DB1" w14:textId="4560B5EC" w:rsidR="00334A7F" w:rsidRPr="00A55083" w:rsidRDefault="00334A7F" w:rsidP="007C43E8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1: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3A74C6DA" w14:textId="2981824D" w:rsidR="00334A7F" w:rsidRPr="00A55083" w:rsidRDefault="00334A7F" w:rsidP="007C43E8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2: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2AB6D188" w14:textId="5D619C43" w:rsidR="0092588B" w:rsidRPr="00A55083" w:rsidRDefault="0092588B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A55083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3</w:t>
      </w:r>
    </w:p>
    <w:p w14:paraId="558E020D" w14:textId="2D0DBBF8" w:rsidR="00395994" w:rsidRPr="00A55083" w:rsidRDefault="00334A7F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Case 3, </w:t>
      </w:r>
      <w:r w:rsidR="002E5A81" w:rsidRPr="00A55083">
        <w:rPr>
          <w:rFonts w:ascii="Times New Roman" w:eastAsia="宋体" w:hAnsi="Times New Roman" w:cs="Times New Roman"/>
          <w:kern w:val="0"/>
          <w:sz w:val="20"/>
          <w:szCs w:val="20"/>
        </w:rPr>
        <w:t>since the mobile IAB-MT4 handovers from IAB-donor A to IAB-donor B</w:t>
      </w:r>
      <w:r w:rsidR="00C374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 Figure 1</w:t>
      </w:r>
      <w:r w:rsidR="002E5A81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then the F1 transport path </w:t>
      </w:r>
      <w:r w:rsidR="00BA024C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mobile IAB-DU4 </w:t>
      </w:r>
      <w:r w:rsidR="002E5A81" w:rsidRPr="00A55083">
        <w:rPr>
          <w:rFonts w:ascii="Times New Roman" w:eastAsia="宋体" w:hAnsi="Times New Roman" w:cs="Times New Roman"/>
          <w:kern w:val="0"/>
          <w:sz w:val="20"/>
          <w:szCs w:val="20"/>
        </w:rPr>
        <w:t>needs to also switch from t</w:t>
      </w:r>
      <w:bookmarkStart w:id="4" w:name="OLE_LINK9"/>
      <w:r w:rsidR="002E5A81" w:rsidRPr="00A55083">
        <w:rPr>
          <w:rFonts w:ascii="Times New Roman" w:eastAsia="宋体" w:hAnsi="Times New Roman" w:cs="Times New Roman"/>
          <w:kern w:val="0"/>
          <w:sz w:val="20"/>
          <w:szCs w:val="20"/>
        </w:rPr>
        <w:t>opology of IAB-donor A</w:t>
      </w:r>
      <w:bookmarkEnd w:id="4"/>
      <w:r w:rsidR="002E5A81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topology of IAB-donor B. </w:t>
      </w:r>
      <w:r w:rsidR="00C50A97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This </w:t>
      </w:r>
      <w:r w:rsidR="00395994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migration </w:t>
      </w:r>
      <w:r w:rsidR="00C50A97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is also </w:t>
      </w:r>
      <w:r w:rsidR="00395994" w:rsidRPr="00A55083">
        <w:rPr>
          <w:rFonts w:ascii="Times New Roman" w:eastAsia="宋体" w:hAnsi="Times New Roman" w:cs="Times New Roman"/>
          <w:kern w:val="0"/>
          <w:sz w:val="20"/>
          <w:szCs w:val="20"/>
        </w:rPr>
        <w:t>acknowledged during consecutive partial migration</w:t>
      </w:r>
      <w:r w:rsidR="00E42052" w:rsidRPr="00A5508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395994" w:rsidRPr="00A5508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36CE868" w14:textId="3DF3664A" w:rsidR="00E42052" w:rsidRPr="00A55083" w:rsidRDefault="00E42052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 w:rsidR="009A6636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Following migration case has been already acknowledged during consecutive partial migrations.</w:t>
      </w:r>
    </w:p>
    <w:p w14:paraId="78CFE335" w14:textId="44D300F4" w:rsidR="00E42052" w:rsidRPr="00A55083" w:rsidRDefault="00E42052" w:rsidP="00B75A5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3: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553B9CF9" w14:textId="26291D87" w:rsidR="00EF004F" w:rsidRPr="00A55083" w:rsidRDefault="00DA74C1" w:rsidP="0093648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7131" w:dyaOrig="5521" w14:anchorId="4BF4B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80pt" o:ole="">
            <v:imagedata r:id="rId7" o:title=""/>
          </v:shape>
          <o:OLEObject Type="Embed" ProgID="Visio.Drawing.15" ShapeID="_x0000_i1025" DrawAspect="Content" ObjectID="_1742364373" r:id="rId8"/>
        </w:object>
      </w:r>
    </w:p>
    <w:p w14:paraId="442489A3" w14:textId="72DB04FF" w:rsidR="00EF004F" w:rsidRPr="00A55083" w:rsidRDefault="000720D4" w:rsidP="0093648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igure 1: An example of Case 3</w:t>
      </w:r>
    </w:p>
    <w:p w14:paraId="4BB7513D" w14:textId="3C675F24" w:rsidR="00EF004F" w:rsidRPr="00A55083" w:rsidRDefault="00090205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A55083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4</w:t>
      </w:r>
    </w:p>
    <w:p w14:paraId="38E3F14A" w14:textId="0F637F55" w:rsidR="0014089C" w:rsidRPr="00A55083" w:rsidRDefault="003F2A3D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In this case, before IAB-DU migration, the mobile IAB-node3 is a boundary IAB-node which terminates F1 connection to IAB-donor A and terminates RRC to IAB-donor B.</w:t>
      </w:r>
      <w:r w:rsidR="00F35D2B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IAB-DU migration, the second mobile IAB-DU </w:t>
      </w:r>
      <w:r w:rsidR="003E2B4F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 </w:t>
      </w:r>
      <w:r w:rsidR="00F35D2B" w:rsidRPr="00A55083">
        <w:rPr>
          <w:rFonts w:ascii="Times New Roman" w:eastAsia="宋体" w:hAnsi="Times New Roman" w:cs="Times New Roman"/>
          <w:kern w:val="0"/>
          <w:sz w:val="20"/>
          <w:szCs w:val="20"/>
        </w:rPr>
        <w:t>setup F1 connection to IAB-donor-CU B</w:t>
      </w:r>
      <w:r w:rsidR="00283C4F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RRC terminating path</w:t>
      </w:r>
      <w:r w:rsidR="00554A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the same as the target path</w:t>
      </w:r>
      <w:r w:rsidR="003E2B4F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040135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IAB-donor A </w:t>
      </w:r>
      <w:proofErr w:type="gramStart"/>
      <w:r w:rsidR="00040135" w:rsidRPr="00A55083">
        <w:rPr>
          <w:rFonts w:ascii="Times New Roman" w:eastAsia="宋体" w:hAnsi="Times New Roman" w:cs="Times New Roman"/>
          <w:kern w:val="0"/>
          <w:sz w:val="20"/>
          <w:szCs w:val="20"/>
        </w:rPr>
        <w:t>initiate</w:t>
      </w:r>
      <w:r w:rsidR="000E3ECB" w:rsidRPr="00A5508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proofErr w:type="gramEnd"/>
      <w:r w:rsidR="00040135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for all connected UE</w:t>
      </w:r>
      <w:r w:rsidR="008C50DD" w:rsidRPr="00A5508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40135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source cell(s) of first mobile IAB-DU to target cell(s) of second mobile IAB-DU</w:t>
      </w:r>
      <w:r w:rsidR="008C50DD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removes the source F1 connection finally</w:t>
      </w:r>
      <w:r w:rsidR="00040135" w:rsidRPr="00A5508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C614EA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E3ECB" w:rsidRPr="00A55083">
        <w:rPr>
          <w:rFonts w:ascii="Times New Roman" w:eastAsia="宋体" w:hAnsi="Times New Roman" w:cs="Times New Roman"/>
          <w:kern w:val="0"/>
          <w:sz w:val="20"/>
          <w:szCs w:val="20"/>
        </w:rPr>
        <w:t>All these procedures have been supported</w:t>
      </w:r>
      <w:r w:rsidR="00920D76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current agreements</w:t>
      </w:r>
      <w:r w:rsidR="000E3ECB" w:rsidRPr="00A5508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D1BFDD1" w14:textId="08E84D30" w:rsidR="000E3ECB" w:rsidRPr="00A55083" w:rsidRDefault="000E3ECB" w:rsidP="000E3E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3: Following migration case </w:t>
      </w:r>
      <w:r w:rsidR="009460EA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is easily to be supported </w:t>
      </w:r>
      <w:r w:rsidR="00920D7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by legacy procedure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9437CEA" w14:textId="6DD8774A" w:rsidR="000E3ECB" w:rsidRPr="00A55083" w:rsidRDefault="000E3ECB" w:rsidP="00B75A5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</w:t>
      </w:r>
      <w:r w:rsidR="00E90D3E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5C6603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5C6603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431F6C23" w14:textId="77777777" w:rsidR="00094601" w:rsidRPr="00A55083" w:rsidRDefault="00094601" w:rsidP="0009460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6361" w:dyaOrig="4661" w14:anchorId="3415CB27">
          <v:shape id="_x0000_i1026" type="#_x0000_t75" style="width:214.5pt;height:157.5pt" o:ole="">
            <v:imagedata r:id="rId9" o:title=""/>
          </v:shape>
          <o:OLEObject Type="Embed" ProgID="Visio.Drawing.15" ShapeID="_x0000_i1026" DrawAspect="Content" ObjectID="_1742364374" r:id="rId10"/>
        </w:object>
      </w:r>
    </w:p>
    <w:p w14:paraId="278453CE" w14:textId="61441C0A" w:rsidR="00094601" w:rsidRPr="00A55083" w:rsidRDefault="00094601" w:rsidP="0009460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5" w:name="OLE_LINK10"/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igure 2: An example of Case 4</w:t>
      </w:r>
    </w:p>
    <w:bookmarkEnd w:id="5"/>
    <w:p w14:paraId="40A2936F" w14:textId="44B30D28" w:rsidR="0014089C" w:rsidRPr="00A55083" w:rsidRDefault="0065719D" w:rsidP="0065719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A55083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5</w:t>
      </w:r>
    </w:p>
    <w:p w14:paraId="68FD3660" w14:textId="777B9260" w:rsidR="0065719D" w:rsidRPr="00A55083" w:rsidRDefault="00A904A6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efore IAB-DU migration, both the IAB-MT and IAB-DU of the mobile IAB-node3 terminates at source IAB-donor-CU A. </w:t>
      </w:r>
      <w:proofErr w:type="gramStart"/>
      <w:r w:rsidR="007312B4" w:rsidRPr="00A55083">
        <w:rPr>
          <w:rFonts w:ascii="Times New Roman" w:eastAsia="宋体" w:hAnsi="Times New Roman" w:cs="Times New Roman"/>
          <w:kern w:val="0"/>
          <w:sz w:val="20"/>
          <w:szCs w:val="20"/>
        </w:rPr>
        <w:t>In order to</w:t>
      </w:r>
      <w:proofErr w:type="gramEnd"/>
      <w:r w:rsidR="007312B4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realize the IAB-DU migration, the second mobile IAB-DU needs to setup F1 connection with target IAB-donor-CU B via the BH links of source IAB-donor A. Once F1 connection between second mobile IAB-DU and target IAB-donor-CU has been setup, following procedures (at least including UE HO and source F1 removal) are the same to the Case 4.</w:t>
      </w:r>
    </w:p>
    <w:p w14:paraId="20192089" w14:textId="7E76A51C" w:rsidR="009C2E89" w:rsidRPr="00A55083" w:rsidRDefault="00FA7223" w:rsidP="00FA72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6500" w:dyaOrig="4661" w14:anchorId="32D58C5E">
          <v:shape id="_x0000_i1027" type="#_x0000_t75" style="width:224.5pt;height:160.5pt" o:ole="">
            <v:imagedata r:id="rId11" o:title=""/>
          </v:shape>
          <o:OLEObject Type="Embed" ProgID="Visio.Drawing.15" ShapeID="_x0000_i1027" DrawAspect="Content" ObjectID="_1742364375" r:id="rId12"/>
        </w:object>
      </w:r>
    </w:p>
    <w:p w14:paraId="1DD310D6" w14:textId="5AF1659B" w:rsidR="00FA7223" w:rsidRPr="00A55083" w:rsidRDefault="00FA7223" w:rsidP="00FA72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 w:rsidR="00A23C5C" w:rsidRPr="00A55083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: An example of Case 5</w:t>
      </w:r>
    </w:p>
    <w:p w14:paraId="0C8410E2" w14:textId="2A560272" w:rsidR="00124484" w:rsidRPr="00A55083" w:rsidRDefault="00124484" w:rsidP="0012448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A55083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6</w:t>
      </w:r>
    </w:p>
    <w:p w14:paraId="2EAA0AB5" w14:textId="2BB8750F" w:rsidR="0065719D" w:rsidRPr="00A55083" w:rsidRDefault="00CD739F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nce F1 connection setup between second mobile IAB-DU and target IAB-donor-CU via the topology of another </w:t>
      </w:r>
      <w:r w:rsidR="00554A2D"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has been supported, the target F1 connection in case 6 </w:t>
      </w:r>
      <w:r w:rsidR="00A265EC" w:rsidRPr="00A55083">
        <w:rPr>
          <w:rFonts w:ascii="Times New Roman" w:eastAsia="宋体" w:hAnsi="Times New Roman" w:cs="Times New Roman"/>
          <w:kern w:val="0"/>
          <w:sz w:val="20"/>
          <w:szCs w:val="20"/>
        </w:rPr>
        <w:t>can be setup. And then source IAB-donor-CU A can perform UE HO for all connected UE</w:t>
      </w:r>
      <w:r w:rsidR="00987E67" w:rsidRPr="00A55083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</w:p>
    <w:p w14:paraId="12B91888" w14:textId="77777777" w:rsidR="00F658E3" w:rsidRPr="00A55083" w:rsidRDefault="00F658E3" w:rsidP="00F658E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 w:rsidRPr="00A55083">
        <w:object w:dxaOrig="7131" w:dyaOrig="4811" w14:anchorId="655BEDA7">
          <v:shape id="_x0000_i1028" type="#_x0000_t75" style="width:224.5pt;height:151.5pt" o:ole="">
            <v:imagedata r:id="rId13" o:title=""/>
          </v:shape>
          <o:OLEObject Type="Embed" ProgID="Visio.Drawing.15" ShapeID="_x0000_i1028" DrawAspect="Content" ObjectID="_1742364376" r:id="rId14"/>
        </w:object>
      </w:r>
    </w:p>
    <w:p w14:paraId="1247BE4B" w14:textId="2122ACAE" w:rsidR="00F658E3" w:rsidRPr="00A55083" w:rsidRDefault="00F658E3" w:rsidP="00F658E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igure 4: An example of Case 6</w:t>
      </w:r>
    </w:p>
    <w:p w14:paraId="691DF8DD" w14:textId="30FA0E9F" w:rsidR="00E90D3E" w:rsidRPr="00A55083" w:rsidRDefault="00E90D3E" w:rsidP="00E90D3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Following migration cases</w:t>
      </w:r>
      <w:r w:rsidR="00F658E3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are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supported if F1 connection </w:t>
      </w:r>
      <w:r w:rsidR="00F658E3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can be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setup between second mobile IAB-DU and target IAB-donor-CU via the topology of another </w:t>
      </w:r>
      <w:r w:rsidR="00F2732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IAB-donor.</w:t>
      </w:r>
    </w:p>
    <w:p w14:paraId="4D58D3AF" w14:textId="24654C3E" w:rsidR="00E90D3E" w:rsidRPr="00A55083" w:rsidRDefault="00E90D3E" w:rsidP="00E90D3E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Case 5: 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63BDCBB8" w14:textId="5D2AB1D3" w:rsidR="00E90D3E" w:rsidRPr="00A55083" w:rsidRDefault="00E90D3E" w:rsidP="00E90D3E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6: 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25F24DED" w14:textId="56845E6A" w:rsidR="009947F7" w:rsidRDefault="009947F7" w:rsidP="00F658E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7942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In case of IAB-DU migration, to support F1 connection setup between second mobile IAB-DU and target IAB-donor-CU via the topology of another </w:t>
      </w:r>
      <w:r w:rsidR="00F2732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RRC-terminating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IAB-donor.</w:t>
      </w:r>
      <w:r w:rsidR="00F2732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C889814" w14:textId="04E4CDA3" w:rsidR="00431D18" w:rsidRDefault="00F01115" w:rsidP="00F658E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analysis above, all 6 migration cases need to be supported for the mobile IAB-node</w:t>
      </w:r>
      <w:r w:rsidR="00CE521E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then </w:t>
      </w:r>
      <w:r w:rsidR="00F8449B">
        <w:rPr>
          <w:rFonts w:ascii="Times New Roman" w:eastAsia="宋体" w:hAnsi="Times New Roman" w:cs="Times New Roman"/>
          <w:kern w:val="0"/>
          <w:sz w:val="20"/>
          <w:szCs w:val="20"/>
        </w:rPr>
        <w:t>the WA in RAN3 118 shall be turned into agreement.</w:t>
      </w:r>
    </w:p>
    <w:p w14:paraId="58B18E27" w14:textId="00710430" w:rsidR="00F8449B" w:rsidRPr="00F8449B" w:rsidRDefault="00F8449B" w:rsidP="00F658E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8449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Turn the following WA into agreement.</w:t>
      </w:r>
    </w:p>
    <w:p w14:paraId="7FC55E65" w14:textId="52C4EC5E" w:rsidR="00431D18" w:rsidRPr="00F8449B" w:rsidRDefault="00F8449B" w:rsidP="00F8449B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WA: The </w:t>
      </w:r>
      <w:proofErr w:type="spellStart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and its co-located </w:t>
      </w:r>
      <w:proofErr w:type="spellStart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can be handed over/migrated to different donor CUs</w:t>
      </w:r>
    </w:p>
    <w:p w14:paraId="7A1DA3AD" w14:textId="77777777" w:rsidR="00AA3FAE" w:rsidRPr="00A55083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55083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BFF445E" w:rsidR="00AA3FAE" w:rsidRPr="00A55083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 w:rsidRPr="00A55083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 </w:t>
      </w:r>
      <w:r w:rsidR="000C73E6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inter-donor migration </w:t>
      </w:r>
      <w:r w:rsidR="00F3573F" w:rsidRPr="00A5508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0C73E6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 w:rsidRPr="00A55083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21850DC" w14:textId="77777777" w:rsidR="007956F5" w:rsidRPr="00A55083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1: Following migration cases have been already supported via the legacy </w:t>
      </w:r>
      <w:proofErr w:type="spellStart"/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 Preparation and IAB Transport Migration Management procedures.</w:t>
      </w:r>
    </w:p>
    <w:p w14:paraId="09E2E549" w14:textId="23E51A22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1: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6082E16F" w14:textId="2728464C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2: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180F36D8" w14:textId="77777777" w:rsidR="007956F5" w:rsidRPr="00A55083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2: Following migration case has been already acknowledged during consecutive partial migrations.</w:t>
      </w:r>
    </w:p>
    <w:p w14:paraId="1AB7B5F1" w14:textId="4F1D9113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3: IAB-MT 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14CB9E3E" w14:textId="77777777" w:rsidR="007956F5" w:rsidRPr="00A55083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3: Following migration case is easily to be supported after trigger conditions have been defined for UE HO and source F1 removal.</w:t>
      </w:r>
    </w:p>
    <w:p w14:paraId="62827322" w14:textId="3C5359F9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4: 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4187CB8C" w14:textId="77777777" w:rsidR="007956F5" w:rsidRPr="00A55083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Following migration cases are supported if F1 connection can be setup between second mobile IAB-DU and target IAB-donor-CU via the topology of another IAB-donor.</w:t>
      </w:r>
    </w:p>
    <w:p w14:paraId="11989ECA" w14:textId="64AF77A7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5: 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27107890" w14:textId="3A8E2579" w:rsidR="007956F5" w:rsidRPr="00A5508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6: IAB-DU migrates from IAB-donor A to IAB-donor B and IAB-MT stay</w:t>
      </w:r>
      <w:r w:rsidR="007C43E8"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63B8FB95" w14:textId="60417956" w:rsidR="007956F5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A5508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79421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A550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In case of IAB-DU migration, to support F1 connection setup between second mobile IAB-DU and target IAB-donor-CU via the topology of another IAB-donor.</w:t>
      </w:r>
    </w:p>
    <w:p w14:paraId="7B977B38" w14:textId="1BF48DD3" w:rsidR="008423FD" w:rsidRPr="00F8449B" w:rsidRDefault="008423FD" w:rsidP="008423F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8449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Turn the following WA into agreement.</w:t>
      </w:r>
      <w:r w:rsidR="00F472D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D5F175D" w14:textId="77777777" w:rsidR="008423FD" w:rsidRPr="00F8449B" w:rsidRDefault="008423FD" w:rsidP="008423FD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WA: The </w:t>
      </w:r>
      <w:proofErr w:type="spellStart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-MT and its co-located </w:t>
      </w:r>
      <w:proofErr w:type="spellStart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8449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can be handed over/migrated to different donor CUs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59CD1D1D" w14:textId="006DF806" w:rsidR="00B83233" w:rsidRPr="00F02655" w:rsidRDefault="00A93291" w:rsidP="00F0265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Chairman notes </w:t>
      </w:r>
      <w:r w:rsidR="005E5201">
        <w:rPr>
          <w:rFonts w:ascii="Times New Roman" w:eastAsia="宋体" w:hAnsi="Times New Roman" w:cs="Times New Roman"/>
          <w:kern w:val="0"/>
          <w:sz w:val="20"/>
          <w:lang w:val="x-none"/>
        </w:rPr>
        <w:t>from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RAN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634669"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e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-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</w:t>
      </w:r>
      <w:r w:rsidR="00F02655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to RAN3 119 meeting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B83233" w:rsidRPr="00F02655" w:rsidSect="0085683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1322B" w14:textId="77777777" w:rsidR="001463EF" w:rsidRDefault="001463EF" w:rsidP="00AA3FAE">
      <w:r>
        <w:separator/>
      </w:r>
    </w:p>
  </w:endnote>
  <w:endnote w:type="continuationSeparator" w:id="0">
    <w:p w14:paraId="04CA48EE" w14:textId="77777777" w:rsidR="001463EF" w:rsidRDefault="001463E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1F9D" w14:textId="77777777" w:rsidR="001463EF" w:rsidRDefault="001463EF" w:rsidP="00AA3FAE">
      <w:r>
        <w:separator/>
      </w:r>
    </w:p>
  </w:footnote>
  <w:footnote w:type="continuationSeparator" w:id="0">
    <w:p w14:paraId="693356A0" w14:textId="77777777" w:rsidR="001463EF" w:rsidRDefault="001463E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AA5BEB"/>
    <w:multiLevelType w:val="hybridMultilevel"/>
    <w:tmpl w:val="12B87B4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8861322">
    <w:abstractNumId w:val="5"/>
  </w:num>
  <w:num w:numId="2" w16cid:durableId="884878363">
    <w:abstractNumId w:val="7"/>
  </w:num>
  <w:num w:numId="3" w16cid:durableId="447480211">
    <w:abstractNumId w:val="9"/>
  </w:num>
  <w:num w:numId="4" w16cid:durableId="157620993">
    <w:abstractNumId w:val="11"/>
  </w:num>
  <w:num w:numId="5" w16cid:durableId="1680542346">
    <w:abstractNumId w:val="1"/>
  </w:num>
  <w:num w:numId="6" w16cid:durableId="1571886962">
    <w:abstractNumId w:val="2"/>
  </w:num>
  <w:num w:numId="7" w16cid:durableId="1374843519">
    <w:abstractNumId w:val="12"/>
  </w:num>
  <w:num w:numId="8" w16cid:durableId="931471817">
    <w:abstractNumId w:val="6"/>
  </w:num>
  <w:num w:numId="9" w16cid:durableId="337318611">
    <w:abstractNumId w:val="10"/>
  </w:num>
  <w:num w:numId="10" w16cid:durableId="1422487906">
    <w:abstractNumId w:val="3"/>
  </w:num>
  <w:num w:numId="11" w16cid:durableId="684131824">
    <w:abstractNumId w:val="0"/>
  </w:num>
  <w:num w:numId="12" w16cid:durableId="1068265878">
    <w:abstractNumId w:val="8"/>
  </w:num>
  <w:num w:numId="13" w16cid:durableId="372967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22BC6"/>
    <w:rsid w:val="0002435E"/>
    <w:rsid w:val="000306D0"/>
    <w:rsid w:val="00032116"/>
    <w:rsid w:val="00033418"/>
    <w:rsid w:val="00035328"/>
    <w:rsid w:val="00035983"/>
    <w:rsid w:val="00040135"/>
    <w:rsid w:val="00041116"/>
    <w:rsid w:val="00041E88"/>
    <w:rsid w:val="00047E11"/>
    <w:rsid w:val="000505CB"/>
    <w:rsid w:val="000566E1"/>
    <w:rsid w:val="00060A16"/>
    <w:rsid w:val="000613CF"/>
    <w:rsid w:val="0006171A"/>
    <w:rsid w:val="000649F5"/>
    <w:rsid w:val="0006683B"/>
    <w:rsid w:val="00070D39"/>
    <w:rsid w:val="000720D4"/>
    <w:rsid w:val="00072D31"/>
    <w:rsid w:val="0008016F"/>
    <w:rsid w:val="00086B95"/>
    <w:rsid w:val="000874BB"/>
    <w:rsid w:val="00090205"/>
    <w:rsid w:val="00094601"/>
    <w:rsid w:val="00095520"/>
    <w:rsid w:val="0009781A"/>
    <w:rsid w:val="000A18DF"/>
    <w:rsid w:val="000A1FAB"/>
    <w:rsid w:val="000A3D7E"/>
    <w:rsid w:val="000A5B0C"/>
    <w:rsid w:val="000B1D18"/>
    <w:rsid w:val="000B2107"/>
    <w:rsid w:val="000B731D"/>
    <w:rsid w:val="000B7C20"/>
    <w:rsid w:val="000B7C6F"/>
    <w:rsid w:val="000C0937"/>
    <w:rsid w:val="000C15D9"/>
    <w:rsid w:val="000C1990"/>
    <w:rsid w:val="000C3F89"/>
    <w:rsid w:val="000C63AC"/>
    <w:rsid w:val="000C73E6"/>
    <w:rsid w:val="000C7510"/>
    <w:rsid w:val="000D0A67"/>
    <w:rsid w:val="000D3ADF"/>
    <w:rsid w:val="000D4846"/>
    <w:rsid w:val="000D5F51"/>
    <w:rsid w:val="000E24D5"/>
    <w:rsid w:val="000E3ECB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160B1"/>
    <w:rsid w:val="00120A66"/>
    <w:rsid w:val="00121955"/>
    <w:rsid w:val="00123848"/>
    <w:rsid w:val="00124484"/>
    <w:rsid w:val="00124FF8"/>
    <w:rsid w:val="00130515"/>
    <w:rsid w:val="00134A9A"/>
    <w:rsid w:val="00134C0A"/>
    <w:rsid w:val="001353CD"/>
    <w:rsid w:val="0014089C"/>
    <w:rsid w:val="001420AF"/>
    <w:rsid w:val="00144EEC"/>
    <w:rsid w:val="001463EF"/>
    <w:rsid w:val="00154A98"/>
    <w:rsid w:val="0015523D"/>
    <w:rsid w:val="001556FC"/>
    <w:rsid w:val="00155C97"/>
    <w:rsid w:val="00157E1B"/>
    <w:rsid w:val="00161A1A"/>
    <w:rsid w:val="001623DF"/>
    <w:rsid w:val="0016334D"/>
    <w:rsid w:val="0017256C"/>
    <w:rsid w:val="00172D96"/>
    <w:rsid w:val="0017370C"/>
    <w:rsid w:val="0017762C"/>
    <w:rsid w:val="001847E8"/>
    <w:rsid w:val="00190FAF"/>
    <w:rsid w:val="0019499C"/>
    <w:rsid w:val="001A0305"/>
    <w:rsid w:val="001A0986"/>
    <w:rsid w:val="001A0D2C"/>
    <w:rsid w:val="001A112C"/>
    <w:rsid w:val="001A1152"/>
    <w:rsid w:val="001A2383"/>
    <w:rsid w:val="001A38C6"/>
    <w:rsid w:val="001A44C7"/>
    <w:rsid w:val="001A7180"/>
    <w:rsid w:val="001B0D34"/>
    <w:rsid w:val="001B15FE"/>
    <w:rsid w:val="001B232F"/>
    <w:rsid w:val="001B31AB"/>
    <w:rsid w:val="001C0F1D"/>
    <w:rsid w:val="001C22C9"/>
    <w:rsid w:val="001C3355"/>
    <w:rsid w:val="001D32CA"/>
    <w:rsid w:val="001D5202"/>
    <w:rsid w:val="001D64DD"/>
    <w:rsid w:val="001F0325"/>
    <w:rsid w:val="001F10C6"/>
    <w:rsid w:val="001F34D3"/>
    <w:rsid w:val="001F5824"/>
    <w:rsid w:val="001F654D"/>
    <w:rsid w:val="002070BF"/>
    <w:rsid w:val="00213791"/>
    <w:rsid w:val="00216448"/>
    <w:rsid w:val="0022248C"/>
    <w:rsid w:val="00222F62"/>
    <w:rsid w:val="00227B13"/>
    <w:rsid w:val="00230B9F"/>
    <w:rsid w:val="00232519"/>
    <w:rsid w:val="00232B2A"/>
    <w:rsid w:val="00235185"/>
    <w:rsid w:val="0024433A"/>
    <w:rsid w:val="00245E3F"/>
    <w:rsid w:val="002500C6"/>
    <w:rsid w:val="00256265"/>
    <w:rsid w:val="00261529"/>
    <w:rsid w:val="00261E40"/>
    <w:rsid w:val="002639A4"/>
    <w:rsid w:val="00267897"/>
    <w:rsid w:val="00270490"/>
    <w:rsid w:val="00277010"/>
    <w:rsid w:val="00281EF8"/>
    <w:rsid w:val="00283294"/>
    <w:rsid w:val="00283C4F"/>
    <w:rsid w:val="00286C7E"/>
    <w:rsid w:val="00292940"/>
    <w:rsid w:val="00292E81"/>
    <w:rsid w:val="002949AE"/>
    <w:rsid w:val="002A3675"/>
    <w:rsid w:val="002A5557"/>
    <w:rsid w:val="002A7108"/>
    <w:rsid w:val="002B23C1"/>
    <w:rsid w:val="002B367B"/>
    <w:rsid w:val="002B3BF8"/>
    <w:rsid w:val="002B3E9D"/>
    <w:rsid w:val="002B61AB"/>
    <w:rsid w:val="002B7FB5"/>
    <w:rsid w:val="002C0C1F"/>
    <w:rsid w:val="002C1967"/>
    <w:rsid w:val="002C1BFE"/>
    <w:rsid w:val="002C6DA5"/>
    <w:rsid w:val="002C75FC"/>
    <w:rsid w:val="002D370E"/>
    <w:rsid w:val="002D6F0D"/>
    <w:rsid w:val="002D7AD8"/>
    <w:rsid w:val="002E166E"/>
    <w:rsid w:val="002E25B8"/>
    <w:rsid w:val="002E57D5"/>
    <w:rsid w:val="002E5A81"/>
    <w:rsid w:val="002E5E3E"/>
    <w:rsid w:val="002F231B"/>
    <w:rsid w:val="002F4481"/>
    <w:rsid w:val="002F5E78"/>
    <w:rsid w:val="002F7A58"/>
    <w:rsid w:val="002F7DD1"/>
    <w:rsid w:val="0030034E"/>
    <w:rsid w:val="00301940"/>
    <w:rsid w:val="00304AB3"/>
    <w:rsid w:val="003068FE"/>
    <w:rsid w:val="003122DB"/>
    <w:rsid w:val="0031359A"/>
    <w:rsid w:val="003169C7"/>
    <w:rsid w:val="00316EA8"/>
    <w:rsid w:val="0031760A"/>
    <w:rsid w:val="003179AD"/>
    <w:rsid w:val="0032255E"/>
    <w:rsid w:val="00323869"/>
    <w:rsid w:val="00324B30"/>
    <w:rsid w:val="0033243A"/>
    <w:rsid w:val="00334A7F"/>
    <w:rsid w:val="00340F49"/>
    <w:rsid w:val="00341F62"/>
    <w:rsid w:val="00343D32"/>
    <w:rsid w:val="0035034A"/>
    <w:rsid w:val="003521C3"/>
    <w:rsid w:val="00353499"/>
    <w:rsid w:val="0035349C"/>
    <w:rsid w:val="003563BC"/>
    <w:rsid w:val="003571D4"/>
    <w:rsid w:val="00362050"/>
    <w:rsid w:val="00362F2C"/>
    <w:rsid w:val="00364270"/>
    <w:rsid w:val="00364AC3"/>
    <w:rsid w:val="00373427"/>
    <w:rsid w:val="0037433B"/>
    <w:rsid w:val="00375BBE"/>
    <w:rsid w:val="0037661F"/>
    <w:rsid w:val="00380BE9"/>
    <w:rsid w:val="003820DA"/>
    <w:rsid w:val="00384956"/>
    <w:rsid w:val="00385E03"/>
    <w:rsid w:val="003901C4"/>
    <w:rsid w:val="00395994"/>
    <w:rsid w:val="003976B5"/>
    <w:rsid w:val="003A0B1A"/>
    <w:rsid w:val="003A4A2A"/>
    <w:rsid w:val="003A5735"/>
    <w:rsid w:val="003B01A0"/>
    <w:rsid w:val="003B170E"/>
    <w:rsid w:val="003B4C4B"/>
    <w:rsid w:val="003C172B"/>
    <w:rsid w:val="003C333E"/>
    <w:rsid w:val="003C6CEF"/>
    <w:rsid w:val="003D25F7"/>
    <w:rsid w:val="003E2B4F"/>
    <w:rsid w:val="003E7CE8"/>
    <w:rsid w:val="003F028A"/>
    <w:rsid w:val="003F0905"/>
    <w:rsid w:val="003F22E5"/>
    <w:rsid w:val="003F2A3D"/>
    <w:rsid w:val="003F2D27"/>
    <w:rsid w:val="003F2E3B"/>
    <w:rsid w:val="003F5217"/>
    <w:rsid w:val="00400281"/>
    <w:rsid w:val="00400D04"/>
    <w:rsid w:val="00402C22"/>
    <w:rsid w:val="00402DFA"/>
    <w:rsid w:val="0040415F"/>
    <w:rsid w:val="0040527B"/>
    <w:rsid w:val="00405361"/>
    <w:rsid w:val="00410D54"/>
    <w:rsid w:val="004139B5"/>
    <w:rsid w:val="004139F0"/>
    <w:rsid w:val="004148EE"/>
    <w:rsid w:val="00415D56"/>
    <w:rsid w:val="00416225"/>
    <w:rsid w:val="00425021"/>
    <w:rsid w:val="00431BB4"/>
    <w:rsid w:val="00431D18"/>
    <w:rsid w:val="00435674"/>
    <w:rsid w:val="0043789D"/>
    <w:rsid w:val="00445267"/>
    <w:rsid w:val="004561FF"/>
    <w:rsid w:val="004602EA"/>
    <w:rsid w:val="00460CDD"/>
    <w:rsid w:val="00461164"/>
    <w:rsid w:val="0046367F"/>
    <w:rsid w:val="004646DC"/>
    <w:rsid w:val="00470777"/>
    <w:rsid w:val="00477369"/>
    <w:rsid w:val="004774BA"/>
    <w:rsid w:val="0047779A"/>
    <w:rsid w:val="00482C89"/>
    <w:rsid w:val="00482EDB"/>
    <w:rsid w:val="00487DC1"/>
    <w:rsid w:val="004903BC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0221"/>
    <w:rsid w:val="004C155B"/>
    <w:rsid w:val="004C273D"/>
    <w:rsid w:val="004C33E1"/>
    <w:rsid w:val="004C4B68"/>
    <w:rsid w:val="004C753F"/>
    <w:rsid w:val="004D1B2C"/>
    <w:rsid w:val="004D23F2"/>
    <w:rsid w:val="004D2414"/>
    <w:rsid w:val="004D2E4F"/>
    <w:rsid w:val="004D54D2"/>
    <w:rsid w:val="004D5505"/>
    <w:rsid w:val="004E0968"/>
    <w:rsid w:val="004E323C"/>
    <w:rsid w:val="004E38E9"/>
    <w:rsid w:val="004E7396"/>
    <w:rsid w:val="004F1524"/>
    <w:rsid w:val="004F17F8"/>
    <w:rsid w:val="004F1FBE"/>
    <w:rsid w:val="004F7753"/>
    <w:rsid w:val="004F7F21"/>
    <w:rsid w:val="005012E1"/>
    <w:rsid w:val="00501C0A"/>
    <w:rsid w:val="00502253"/>
    <w:rsid w:val="00504029"/>
    <w:rsid w:val="0052218C"/>
    <w:rsid w:val="005237AE"/>
    <w:rsid w:val="005247ED"/>
    <w:rsid w:val="00530F9F"/>
    <w:rsid w:val="005320DF"/>
    <w:rsid w:val="00532DEC"/>
    <w:rsid w:val="005347E6"/>
    <w:rsid w:val="005355E0"/>
    <w:rsid w:val="00541DC6"/>
    <w:rsid w:val="00542A22"/>
    <w:rsid w:val="0054309F"/>
    <w:rsid w:val="0054382F"/>
    <w:rsid w:val="00545866"/>
    <w:rsid w:val="005508EC"/>
    <w:rsid w:val="00550D47"/>
    <w:rsid w:val="005526BE"/>
    <w:rsid w:val="00553370"/>
    <w:rsid w:val="00554A2D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1D3"/>
    <w:rsid w:val="00571FC2"/>
    <w:rsid w:val="00572AD8"/>
    <w:rsid w:val="005734BC"/>
    <w:rsid w:val="00575F7F"/>
    <w:rsid w:val="00576069"/>
    <w:rsid w:val="00583837"/>
    <w:rsid w:val="005858BB"/>
    <w:rsid w:val="00587CBF"/>
    <w:rsid w:val="005919B5"/>
    <w:rsid w:val="0059311E"/>
    <w:rsid w:val="005939B2"/>
    <w:rsid w:val="005A0141"/>
    <w:rsid w:val="005A172D"/>
    <w:rsid w:val="005A7220"/>
    <w:rsid w:val="005A7B59"/>
    <w:rsid w:val="005B311C"/>
    <w:rsid w:val="005B4B3A"/>
    <w:rsid w:val="005B7597"/>
    <w:rsid w:val="005B7E5A"/>
    <w:rsid w:val="005C0EC7"/>
    <w:rsid w:val="005C6603"/>
    <w:rsid w:val="005C686B"/>
    <w:rsid w:val="005C6EEA"/>
    <w:rsid w:val="005C7E1D"/>
    <w:rsid w:val="005D1F9E"/>
    <w:rsid w:val="005D526C"/>
    <w:rsid w:val="005E1E09"/>
    <w:rsid w:val="005E5201"/>
    <w:rsid w:val="005E6B5B"/>
    <w:rsid w:val="005E7BCB"/>
    <w:rsid w:val="00604024"/>
    <w:rsid w:val="006040E0"/>
    <w:rsid w:val="00604CC3"/>
    <w:rsid w:val="00605573"/>
    <w:rsid w:val="00605B0C"/>
    <w:rsid w:val="00607C4A"/>
    <w:rsid w:val="00611379"/>
    <w:rsid w:val="00625208"/>
    <w:rsid w:val="0062546C"/>
    <w:rsid w:val="00632A14"/>
    <w:rsid w:val="00633A77"/>
    <w:rsid w:val="0063421A"/>
    <w:rsid w:val="00634669"/>
    <w:rsid w:val="00654E5E"/>
    <w:rsid w:val="0065719D"/>
    <w:rsid w:val="006577AB"/>
    <w:rsid w:val="00662469"/>
    <w:rsid w:val="00666EA1"/>
    <w:rsid w:val="00667ECF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6619"/>
    <w:rsid w:val="006A3137"/>
    <w:rsid w:val="006A3783"/>
    <w:rsid w:val="006A5274"/>
    <w:rsid w:val="006A53D6"/>
    <w:rsid w:val="006B099A"/>
    <w:rsid w:val="006B0FE9"/>
    <w:rsid w:val="006B1824"/>
    <w:rsid w:val="006B73DA"/>
    <w:rsid w:val="006C1E84"/>
    <w:rsid w:val="006C3EB5"/>
    <w:rsid w:val="006D1A36"/>
    <w:rsid w:val="006D23C8"/>
    <w:rsid w:val="006D2AEE"/>
    <w:rsid w:val="006D3B67"/>
    <w:rsid w:val="006D5CA9"/>
    <w:rsid w:val="006D6F3D"/>
    <w:rsid w:val="006E2F17"/>
    <w:rsid w:val="006E5A0A"/>
    <w:rsid w:val="006E5F31"/>
    <w:rsid w:val="006E612F"/>
    <w:rsid w:val="006E7CED"/>
    <w:rsid w:val="006F12AA"/>
    <w:rsid w:val="006F50AC"/>
    <w:rsid w:val="006F7041"/>
    <w:rsid w:val="00700A81"/>
    <w:rsid w:val="0070251B"/>
    <w:rsid w:val="00703BAA"/>
    <w:rsid w:val="00705A56"/>
    <w:rsid w:val="0070723A"/>
    <w:rsid w:val="00707369"/>
    <w:rsid w:val="00710BD1"/>
    <w:rsid w:val="00715902"/>
    <w:rsid w:val="00716AD9"/>
    <w:rsid w:val="007209B0"/>
    <w:rsid w:val="00730389"/>
    <w:rsid w:val="00730BC7"/>
    <w:rsid w:val="007312B4"/>
    <w:rsid w:val="0073471A"/>
    <w:rsid w:val="00737853"/>
    <w:rsid w:val="00741720"/>
    <w:rsid w:val="007424B9"/>
    <w:rsid w:val="007452B6"/>
    <w:rsid w:val="0075187D"/>
    <w:rsid w:val="0076720C"/>
    <w:rsid w:val="00780AEB"/>
    <w:rsid w:val="0078172C"/>
    <w:rsid w:val="007846F4"/>
    <w:rsid w:val="00787F6F"/>
    <w:rsid w:val="00791B0A"/>
    <w:rsid w:val="0079421E"/>
    <w:rsid w:val="0079514C"/>
    <w:rsid w:val="007956F5"/>
    <w:rsid w:val="007A291D"/>
    <w:rsid w:val="007A2F3F"/>
    <w:rsid w:val="007B3141"/>
    <w:rsid w:val="007B334A"/>
    <w:rsid w:val="007B4ACD"/>
    <w:rsid w:val="007C41E1"/>
    <w:rsid w:val="007C43E8"/>
    <w:rsid w:val="007C4A72"/>
    <w:rsid w:val="007C50EC"/>
    <w:rsid w:val="007D06AC"/>
    <w:rsid w:val="007E1B20"/>
    <w:rsid w:val="007E32E4"/>
    <w:rsid w:val="007F2A4D"/>
    <w:rsid w:val="007F2E5B"/>
    <w:rsid w:val="008015FF"/>
    <w:rsid w:val="00803325"/>
    <w:rsid w:val="0080425A"/>
    <w:rsid w:val="00807095"/>
    <w:rsid w:val="00811326"/>
    <w:rsid w:val="00813C06"/>
    <w:rsid w:val="008224D6"/>
    <w:rsid w:val="00824193"/>
    <w:rsid w:val="0082503A"/>
    <w:rsid w:val="00832BE1"/>
    <w:rsid w:val="00835D29"/>
    <w:rsid w:val="00840469"/>
    <w:rsid w:val="0084197E"/>
    <w:rsid w:val="008423FD"/>
    <w:rsid w:val="00844F67"/>
    <w:rsid w:val="008452D8"/>
    <w:rsid w:val="008522C2"/>
    <w:rsid w:val="00855C34"/>
    <w:rsid w:val="00864DEE"/>
    <w:rsid w:val="00865F65"/>
    <w:rsid w:val="00866926"/>
    <w:rsid w:val="00866ED3"/>
    <w:rsid w:val="00870252"/>
    <w:rsid w:val="00870FB8"/>
    <w:rsid w:val="008714A7"/>
    <w:rsid w:val="00877E0A"/>
    <w:rsid w:val="00881EEB"/>
    <w:rsid w:val="0088224B"/>
    <w:rsid w:val="00885223"/>
    <w:rsid w:val="0088742B"/>
    <w:rsid w:val="00887EAA"/>
    <w:rsid w:val="00890E4A"/>
    <w:rsid w:val="0089372E"/>
    <w:rsid w:val="00896E4A"/>
    <w:rsid w:val="00896FE5"/>
    <w:rsid w:val="0089705F"/>
    <w:rsid w:val="008974CD"/>
    <w:rsid w:val="008B1345"/>
    <w:rsid w:val="008B1CAD"/>
    <w:rsid w:val="008B79BC"/>
    <w:rsid w:val="008B7D21"/>
    <w:rsid w:val="008C26CC"/>
    <w:rsid w:val="008C50DD"/>
    <w:rsid w:val="008C7C1C"/>
    <w:rsid w:val="008D3D70"/>
    <w:rsid w:val="008D669E"/>
    <w:rsid w:val="008D7810"/>
    <w:rsid w:val="008E0ECE"/>
    <w:rsid w:val="008E25BF"/>
    <w:rsid w:val="008E3AEB"/>
    <w:rsid w:val="008E59A7"/>
    <w:rsid w:val="008F063F"/>
    <w:rsid w:val="009003BA"/>
    <w:rsid w:val="009018BD"/>
    <w:rsid w:val="00901EE5"/>
    <w:rsid w:val="00906767"/>
    <w:rsid w:val="009113BD"/>
    <w:rsid w:val="009136A1"/>
    <w:rsid w:val="009174F1"/>
    <w:rsid w:val="00920D76"/>
    <w:rsid w:val="00922240"/>
    <w:rsid w:val="0092588B"/>
    <w:rsid w:val="009259CA"/>
    <w:rsid w:val="009269BB"/>
    <w:rsid w:val="00926DCD"/>
    <w:rsid w:val="00932D3E"/>
    <w:rsid w:val="00934C2F"/>
    <w:rsid w:val="009362C1"/>
    <w:rsid w:val="00936485"/>
    <w:rsid w:val="00943A26"/>
    <w:rsid w:val="009443D2"/>
    <w:rsid w:val="00944C84"/>
    <w:rsid w:val="009460EA"/>
    <w:rsid w:val="00952028"/>
    <w:rsid w:val="0095297E"/>
    <w:rsid w:val="00953570"/>
    <w:rsid w:val="009536E1"/>
    <w:rsid w:val="009551A9"/>
    <w:rsid w:val="00957C7B"/>
    <w:rsid w:val="00976AEE"/>
    <w:rsid w:val="00977F34"/>
    <w:rsid w:val="00982B3F"/>
    <w:rsid w:val="00985484"/>
    <w:rsid w:val="00987E67"/>
    <w:rsid w:val="009912C5"/>
    <w:rsid w:val="00992405"/>
    <w:rsid w:val="009926ED"/>
    <w:rsid w:val="00994662"/>
    <w:rsid w:val="009947F7"/>
    <w:rsid w:val="00994907"/>
    <w:rsid w:val="009960CE"/>
    <w:rsid w:val="009A1B93"/>
    <w:rsid w:val="009A6636"/>
    <w:rsid w:val="009B19F1"/>
    <w:rsid w:val="009B3EF1"/>
    <w:rsid w:val="009B755D"/>
    <w:rsid w:val="009C0360"/>
    <w:rsid w:val="009C26BF"/>
    <w:rsid w:val="009C2E89"/>
    <w:rsid w:val="009C3C24"/>
    <w:rsid w:val="009C4394"/>
    <w:rsid w:val="009C6DD1"/>
    <w:rsid w:val="009C7F3D"/>
    <w:rsid w:val="009D2108"/>
    <w:rsid w:val="009D6382"/>
    <w:rsid w:val="009E3579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3FE0"/>
    <w:rsid w:val="00A048A1"/>
    <w:rsid w:val="00A04D91"/>
    <w:rsid w:val="00A16F17"/>
    <w:rsid w:val="00A2110E"/>
    <w:rsid w:val="00A218C1"/>
    <w:rsid w:val="00A21C09"/>
    <w:rsid w:val="00A23C5C"/>
    <w:rsid w:val="00A24E34"/>
    <w:rsid w:val="00A259FE"/>
    <w:rsid w:val="00A265EC"/>
    <w:rsid w:val="00A26D85"/>
    <w:rsid w:val="00A26E1D"/>
    <w:rsid w:val="00A27064"/>
    <w:rsid w:val="00A3130A"/>
    <w:rsid w:val="00A37406"/>
    <w:rsid w:val="00A41CAB"/>
    <w:rsid w:val="00A45B7F"/>
    <w:rsid w:val="00A46452"/>
    <w:rsid w:val="00A51D78"/>
    <w:rsid w:val="00A52EDF"/>
    <w:rsid w:val="00A53E8A"/>
    <w:rsid w:val="00A55083"/>
    <w:rsid w:val="00A552CB"/>
    <w:rsid w:val="00A601A2"/>
    <w:rsid w:val="00A60A1C"/>
    <w:rsid w:val="00A661E2"/>
    <w:rsid w:val="00A725CC"/>
    <w:rsid w:val="00A748CA"/>
    <w:rsid w:val="00A765AC"/>
    <w:rsid w:val="00A77D6B"/>
    <w:rsid w:val="00A81646"/>
    <w:rsid w:val="00A837DE"/>
    <w:rsid w:val="00A84D97"/>
    <w:rsid w:val="00A84E6F"/>
    <w:rsid w:val="00A85027"/>
    <w:rsid w:val="00A904A6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B3F84"/>
    <w:rsid w:val="00AC25E2"/>
    <w:rsid w:val="00AC3051"/>
    <w:rsid w:val="00AC44C3"/>
    <w:rsid w:val="00AC4F3E"/>
    <w:rsid w:val="00AC553A"/>
    <w:rsid w:val="00AE2DD4"/>
    <w:rsid w:val="00AE4ACB"/>
    <w:rsid w:val="00AE774C"/>
    <w:rsid w:val="00AF05F2"/>
    <w:rsid w:val="00AF24A3"/>
    <w:rsid w:val="00AF4491"/>
    <w:rsid w:val="00AF6E22"/>
    <w:rsid w:val="00AF7716"/>
    <w:rsid w:val="00B000F1"/>
    <w:rsid w:val="00B0062A"/>
    <w:rsid w:val="00B06DA9"/>
    <w:rsid w:val="00B20D2F"/>
    <w:rsid w:val="00B2364A"/>
    <w:rsid w:val="00B25314"/>
    <w:rsid w:val="00B26539"/>
    <w:rsid w:val="00B268BD"/>
    <w:rsid w:val="00B321E0"/>
    <w:rsid w:val="00B33EE7"/>
    <w:rsid w:val="00B34B5A"/>
    <w:rsid w:val="00B40018"/>
    <w:rsid w:val="00B403D4"/>
    <w:rsid w:val="00B447E6"/>
    <w:rsid w:val="00B46592"/>
    <w:rsid w:val="00B46699"/>
    <w:rsid w:val="00B5445D"/>
    <w:rsid w:val="00B54F7F"/>
    <w:rsid w:val="00B54FE2"/>
    <w:rsid w:val="00B5787C"/>
    <w:rsid w:val="00B67206"/>
    <w:rsid w:val="00B72A52"/>
    <w:rsid w:val="00B74D0D"/>
    <w:rsid w:val="00B757A1"/>
    <w:rsid w:val="00B75A59"/>
    <w:rsid w:val="00B83233"/>
    <w:rsid w:val="00B83738"/>
    <w:rsid w:val="00B92B7A"/>
    <w:rsid w:val="00B936BA"/>
    <w:rsid w:val="00B93FBD"/>
    <w:rsid w:val="00B96B5D"/>
    <w:rsid w:val="00B97129"/>
    <w:rsid w:val="00B97A5B"/>
    <w:rsid w:val="00BA024C"/>
    <w:rsid w:val="00BA1873"/>
    <w:rsid w:val="00BA2D04"/>
    <w:rsid w:val="00BA5E1C"/>
    <w:rsid w:val="00BA5EDA"/>
    <w:rsid w:val="00BA684C"/>
    <w:rsid w:val="00BB457A"/>
    <w:rsid w:val="00BB4827"/>
    <w:rsid w:val="00BB61F4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07CA9"/>
    <w:rsid w:val="00C11F54"/>
    <w:rsid w:val="00C15F89"/>
    <w:rsid w:val="00C1787E"/>
    <w:rsid w:val="00C22AF4"/>
    <w:rsid w:val="00C2324A"/>
    <w:rsid w:val="00C245B8"/>
    <w:rsid w:val="00C25734"/>
    <w:rsid w:val="00C26C5A"/>
    <w:rsid w:val="00C27EF7"/>
    <w:rsid w:val="00C31487"/>
    <w:rsid w:val="00C330D5"/>
    <w:rsid w:val="00C33EEF"/>
    <w:rsid w:val="00C34AB5"/>
    <w:rsid w:val="00C34AF7"/>
    <w:rsid w:val="00C34B6D"/>
    <w:rsid w:val="00C374A6"/>
    <w:rsid w:val="00C447AC"/>
    <w:rsid w:val="00C45331"/>
    <w:rsid w:val="00C50A97"/>
    <w:rsid w:val="00C51C67"/>
    <w:rsid w:val="00C53D68"/>
    <w:rsid w:val="00C5442C"/>
    <w:rsid w:val="00C5553F"/>
    <w:rsid w:val="00C607C0"/>
    <w:rsid w:val="00C61318"/>
    <w:rsid w:val="00C614EA"/>
    <w:rsid w:val="00C62F11"/>
    <w:rsid w:val="00C63904"/>
    <w:rsid w:val="00C7223F"/>
    <w:rsid w:val="00C72915"/>
    <w:rsid w:val="00C8031C"/>
    <w:rsid w:val="00C82113"/>
    <w:rsid w:val="00C85269"/>
    <w:rsid w:val="00C858BE"/>
    <w:rsid w:val="00C92F7E"/>
    <w:rsid w:val="00C966DD"/>
    <w:rsid w:val="00C975EA"/>
    <w:rsid w:val="00CA267C"/>
    <w:rsid w:val="00CA2C1E"/>
    <w:rsid w:val="00CA2F8B"/>
    <w:rsid w:val="00CA4A9A"/>
    <w:rsid w:val="00CB162A"/>
    <w:rsid w:val="00CB18BA"/>
    <w:rsid w:val="00CB3C92"/>
    <w:rsid w:val="00CC2DC0"/>
    <w:rsid w:val="00CC31C4"/>
    <w:rsid w:val="00CC5625"/>
    <w:rsid w:val="00CC614A"/>
    <w:rsid w:val="00CD02A7"/>
    <w:rsid w:val="00CD3CA4"/>
    <w:rsid w:val="00CD739F"/>
    <w:rsid w:val="00CD79A8"/>
    <w:rsid w:val="00CE0200"/>
    <w:rsid w:val="00CE0908"/>
    <w:rsid w:val="00CE123B"/>
    <w:rsid w:val="00CE2D1E"/>
    <w:rsid w:val="00CE3AB3"/>
    <w:rsid w:val="00CE52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24FA7"/>
    <w:rsid w:val="00D30F6F"/>
    <w:rsid w:val="00D355CC"/>
    <w:rsid w:val="00D378A1"/>
    <w:rsid w:val="00D418AD"/>
    <w:rsid w:val="00D41AC1"/>
    <w:rsid w:val="00D517D1"/>
    <w:rsid w:val="00D51E3A"/>
    <w:rsid w:val="00D5235A"/>
    <w:rsid w:val="00D523ED"/>
    <w:rsid w:val="00D535EE"/>
    <w:rsid w:val="00D54D42"/>
    <w:rsid w:val="00D56567"/>
    <w:rsid w:val="00D60F88"/>
    <w:rsid w:val="00D61093"/>
    <w:rsid w:val="00D65253"/>
    <w:rsid w:val="00D67F2F"/>
    <w:rsid w:val="00D70D18"/>
    <w:rsid w:val="00D7562B"/>
    <w:rsid w:val="00D76F6E"/>
    <w:rsid w:val="00D80228"/>
    <w:rsid w:val="00D8082F"/>
    <w:rsid w:val="00D80A26"/>
    <w:rsid w:val="00D83A9F"/>
    <w:rsid w:val="00D84224"/>
    <w:rsid w:val="00D90CB3"/>
    <w:rsid w:val="00D918B8"/>
    <w:rsid w:val="00D956D6"/>
    <w:rsid w:val="00DA1F42"/>
    <w:rsid w:val="00DA23B6"/>
    <w:rsid w:val="00DA3F49"/>
    <w:rsid w:val="00DA5214"/>
    <w:rsid w:val="00DA74C1"/>
    <w:rsid w:val="00DC21C1"/>
    <w:rsid w:val="00DC331A"/>
    <w:rsid w:val="00DD042C"/>
    <w:rsid w:val="00DD07BD"/>
    <w:rsid w:val="00DD60E2"/>
    <w:rsid w:val="00DE08B3"/>
    <w:rsid w:val="00DE36BD"/>
    <w:rsid w:val="00DE67F4"/>
    <w:rsid w:val="00DF01D0"/>
    <w:rsid w:val="00DF28E0"/>
    <w:rsid w:val="00DF3FDB"/>
    <w:rsid w:val="00DF5B75"/>
    <w:rsid w:val="00DF66F0"/>
    <w:rsid w:val="00E04A87"/>
    <w:rsid w:val="00E052A5"/>
    <w:rsid w:val="00E0635A"/>
    <w:rsid w:val="00E07600"/>
    <w:rsid w:val="00E15A94"/>
    <w:rsid w:val="00E261BC"/>
    <w:rsid w:val="00E263C9"/>
    <w:rsid w:val="00E27BBF"/>
    <w:rsid w:val="00E33AB2"/>
    <w:rsid w:val="00E4205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1FBA"/>
    <w:rsid w:val="00E62D84"/>
    <w:rsid w:val="00E63122"/>
    <w:rsid w:val="00E63F06"/>
    <w:rsid w:val="00E64886"/>
    <w:rsid w:val="00E6798F"/>
    <w:rsid w:val="00E67E0B"/>
    <w:rsid w:val="00E75DD6"/>
    <w:rsid w:val="00E808A2"/>
    <w:rsid w:val="00E809E7"/>
    <w:rsid w:val="00E90D3E"/>
    <w:rsid w:val="00EA3696"/>
    <w:rsid w:val="00EA6227"/>
    <w:rsid w:val="00EA73E5"/>
    <w:rsid w:val="00EB3664"/>
    <w:rsid w:val="00EB3AF7"/>
    <w:rsid w:val="00EC1623"/>
    <w:rsid w:val="00EC489F"/>
    <w:rsid w:val="00EC6B8A"/>
    <w:rsid w:val="00ED2240"/>
    <w:rsid w:val="00EE2379"/>
    <w:rsid w:val="00EE2B0A"/>
    <w:rsid w:val="00EE2C91"/>
    <w:rsid w:val="00EE3198"/>
    <w:rsid w:val="00EE31DA"/>
    <w:rsid w:val="00EE486A"/>
    <w:rsid w:val="00EE7BF7"/>
    <w:rsid w:val="00EF004F"/>
    <w:rsid w:val="00EF193B"/>
    <w:rsid w:val="00EF2CFE"/>
    <w:rsid w:val="00EF5733"/>
    <w:rsid w:val="00EF57C9"/>
    <w:rsid w:val="00F01115"/>
    <w:rsid w:val="00F02655"/>
    <w:rsid w:val="00F0297E"/>
    <w:rsid w:val="00F05BD8"/>
    <w:rsid w:val="00F077A3"/>
    <w:rsid w:val="00F07965"/>
    <w:rsid w:val="00F10471"/>
    <w:rsid w:val="00F112F6"/>
    <w:rsid w:val="00F150FE"/>
    <w:rsid w:val="00F158EE"/>
    <w:rsid w:val="00F24293"/>
    <w:rsid w:val="00F27320"/>
    <w:rsid w:val="00F312A6"/>
    <w:rsid w:val="00F32774"/>
    <w:rsid w:val="00F3573F"/>
    <w:rsid w:val="00F35D2B"/>
    <w:rsid w:val="00F4047D"/>
    <w:rsid w:val="00F408A1"/>
    <w:rsid w:val="00F42045"/>
    <w:rsid w:val="00F42247"/>
    <w:rsid w:val="00F448E2"/>
    <w:rsid w:val="00F4507C"/>
    <w:rsid w:val="00F472D1"/>
    <w:rsid w:val="00F47CA2"/>
    <w:rsid w:val="00F52357"/>
    <w:rsid w:val="00F5322B"/>
    <w:rsid w:val="00F536B8"/>
    <w:rsid w:val="00F56399"/>
    <w:rsid w:val="00F56AEB"/>
    <w:rsid w:val="00F6014C"/>
    <w:rsid w:val="00F60AA3"/>
    <w:rsid w:val="00F6131B"/>
    <w:rsid w:val="00F61D17"/>
    <w:rsid w:val="00F64BEB"/>
    <w:rsid w:val="00F658E3"/>
    <w:rsid w:val="00F67B2B"/>
    <w:rsid w:val="00F73126"/>
    <w:rsid w:val="00F734B8"/>
    <w:rsid w:val="00F73A1B"/>
    <w:rsid w:val="00F743FA"/>
    <w:rsid w:val="00F7451E"/>
    <w:rsid w:val="00F7729A"/>
    <w:rsid w:val="00F77D76"/>
    <w:rsid w:val="00F80B45"/>
    <w:rsid w:val="00F8106E"/>
    <w:rsid w:val="00F8449B"/>
    <w:rsid w:val="00F862F2"/>
    <w:rsid w:val="00F9005F"/>
    <w:rsid w:val="00F910F0"/>
    <w:rsid w:val="00F954B8"/>
    <w:rsid w:val="00FA241B"/>
    <w:rsid w:val="00FA440F"/>
    <w:rsid w:val="00FA7223"/>
    <w:rsid w:val="00FB04E0"/>
    <w:rsid w:val="00FB0883"/>
    <w:rsid w:val="00FB2D08"/>
    <w:rsid w:val="00FB6148"/>
    <w:rsid w:val="00FB6A14"/>
    <w:rsid w:val="00FB795E"/>
    <w:rsid w:val="00FC144A"/>
    <w:rsid w:val="00FC3DCC"/>
    <w:rsid w:val="00FC5406"/>
    <w:rsid w:val="00FD075D"/>
    <w:rsid w:val="00FD3428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216448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16448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4008</TotalTime>
  <Pages>4</Pages>
  <Words>1307</Words>
  <Characters>7453</Characters>
  <Application>Microsoft Office Word</Application>
  <DocSecurity>0</DocSecurity>
  <Lines>62</Lines>
  <Paragraphs>17</Paragraphs>
  <ScaleCrop>false</ScaleCrop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793</cp:revision>
  <dcterms:created xsi:type="dcterms:W3CDTF">2021-01-15T00:45:00Z</dcterms:created>
  <dcterms:modified xsi:type="dcterms:W3CDTF">2023-04-07T01:19:00Z</dcterms:modified>
</cp:coreProperties>
</file>